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9" w:rsidRPr="007712A8" w:rsidRDefault="003A5979" w:rsidP="003A5979">
      <w:pPr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ZAMAWIAJĄCY (UPRAWNIONY Z GWARANCJI/UŻYTKOWNIK)</w:t>
      </w:r>
    </w:p>
    <w:p w:rsidR="003A5979" w:rsidRPr="003A5979" w:rsidRDefault="003A5979" w:rsidP="003A5979">
      <w:pPr>
        <w:rPr>
          <w:rFonts w:ascii="Arial" w:hAnsi="Arial" w:cs="Arial"/>
          <w:sz w:val="20"/>
          <w:szCs w:val="20"/>
        </w:rPr>
      </w:pPr>
      <w:r w:rsidRPr="003A5979">
        <w:rPr>
          <w:rFonts w:ascii="Arial" w:hAnsi="Arial" w:cs="Arial"/>
          <w:sz w:val="20"/>
          <w:szCs w:val="20"/>
        </w:rPr>
        <w:t xml:space="preserve">Tarnowska Gospodarka Komunalna TP-KOM Sp. z o.o. </w:t>
      </w:r>
    </w:p>
    <w:p w:rsidR="003A5979" w:rsidRPr="003A5979" w:rsidRDefault="003A5979" w:rsidP="003A5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A5979">
        <w:rPr>
          <w:rFonts w:ascii="Arial" w:hAnsi="Arial" w:cs="Arial"/>
          <w:sz w:val="20"/>
          <w:szCs w:val="20"/>
        </w:rPr>
        <w:t>l. Zachodni 4, 62 – 080 Tarnowo Podgórne</w:t>
      </w:r>
    </w:p>
    <w:p w:rsidR="003A5979" w:rsidRPr="003A5979" w:rsidRDefault="003A5979" w:rsidP="003A5979">
      <w:pPr>
        <w:rPr>
          <w:rFonts w:ascii="Arial" w:hAnsi="Arial" w:cs="Arial"/>
          <w:sz w:val="20"/>
          <w:szCs w:val="20"/>
        </w:rPr>
      </w:pPr>
      <w:r w:rsidRPr="003A5979">
        <w:rPr>
          <w:rFonts w:ascii="Arial" w:hAnsi="Arial" w:cs="Arial"/>
          <w:sz w:val="20"/>
          <w:szCs w:val="20"/>
        </w:rPr>
        <w:t>tel. (61) 814-64-30</w:t>
      </w:r>
    </w:p>
    <w:p w:rsidR="003A5979" w:rsidRDefault="003A5979" w:rsidP="003A5979">
      <w:pPr>
        <w:rPr>
          <w:rFonts w:ascii="Arial" w:hAnsi="Arial" w:cs="Arial"/>
          <w:b/>
          <w:sz w:val="20"/>
          <w:szCs w:val="20"/>
        </w:rPr>
      </w:pPr>
    </w:p>
    <w:p w:rsidR="003A5979" w:rsidRPr="007712A8" w:rsidRDefault="003A5979" w:rsidP="003A5979">
      <w:pPr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WYKONAWCA (GWARANT)</w:t>
      </w:r>
    </w:p>
    <w:p w:rsidR="003A5979" w:rsidRPr="007712A8" w:rsidRDefault="003A5979" w:rsidP="003A5979">
      <w:pPr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A5979" w:rsidRPr="007712A8" w:rsidRDefault="003A5979" w:rsidP="003A5979">
      <w:pPr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adres…………………………….. NIP………………………, REGON……………….. KRS</w:t>
      </w:r>
    </w:p>
    <w:p w:rsidR="004506A1" w:rsidRDefault="004506A1" w:rsidP="003A5979">
      <w:pPr>
        <w:rPr>
          <w:rFonts w:ascii="Arial" w:hAnsi="Arial" w:cs="Arial"/>
          <w:b/>
          <w:sz w:val="20"/>
          <w:szCs w:val="20"/>
        </w:rPr>
      </w:pPr>
    </w:p>
    <w:p w:rsidR="003A5979" w:rsidRPr="007712A8" w:rsidRDefault="003A5979" w:rsidP="003A5979">
      <w:pPr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PRZEDMIOT GWARANCJI</w:t>
      </w:r>
    </w:p>
    <w:p w:rsidR="003A5979" w:rsidRDefault="003A5979" w:rsidP="003A5979">
      <w:pPr>
        <w:rPr>
          <w:rFonts w:ascii="Arial" w:hAnsi="Arial" w:cs="Arial"/>
          <w:sz w:val="20"/>
          <w:szCs w:val="20"/>
        </w:rPr>
      </w:pPr>
      <w:r w:rsidRPr="003A5979">
        <w:rPr>
          <w:rFonts w:ascii="Arial" w:hAnsi="Arial" w:cs="Arial"/>
          <w:sz w:val="20"/>
          <w:szCs w:val="20"/>
        </w:rPr>
        <w:t>„Modernizacja i rozbudowa oczyszczalni ścieków w Tarnowie Podgórnym”</w:t>
      </w:r>
    </w:p>
    <w:p w:rsidR="003A5979" w:rsidRPr="00C97BBC" w:rsidRDefault="003A5979" w:rsidP="003A5979">
      <w:pPr>
        <w:rPr>
          <w:rFonts w:ascii="Arial" w:hAnsi="Arial" w:cs="Arial"/>
          <w:sz w:val="2"/>
          <w:szCs w:val="20"/>
        </w:rPr>
      </w:pPr>
    </w:p>
    <w:p w:rsidR="003A5979" w:rsidRPr="007712A8" w:rsidRDefault="003A5979" w:rsidP="003A5979">
      <w:pPr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OK</w:t>
      </w:r>
      <w:r w:rsidR="004D028C">
        <w:rPr>
          <w:rFonts w:ascii="Arial" w:hAnsi="Arial" w:cs="Arial"/>
          <w:b/>
          <w:sz w:val="20"/>
          <w:szCs w:val="20"/>
        </w:rPr>
        <w:t>R</w:t>
      </w:r>
      <w:r w:rsidRPr="007712A8">
        <w:rPr>
          <w:rFonts w:ascii="Arial" w:hAnsi="Arial" w:cs="Arial"/>
          <w:b/>
          <w:sz w:val="20"/>
          <w:szCs w:val="20"/>
        </w:rPr>
        <w:t>ES GWARANCJI</w:t>
      </w:r>
    </w:p>
    <w:p w:rsidR="003A5979" w:rsidRPr="007712A8" w:rsidRDefault="003A5979" w:rsidP="003A5979">
      <w:pPr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………….. </w:t>
      </w:r>
      <w:r w:rsidR="007A415C">
        <w:rPr>
          <w:rFonts w:ascii="Arial" w:hAnsi="Arial" w:cs="Arial"/>
          <w:sz w:val="20"/>
          <w:szCs w:val="20"/>
        </w:rPr>
        <w:t>lat</w:t>
      </w:r>
    </w:p>
    <w:p w:rsidR="004506A1" w:rsidRDefault="004506A1" w:rsidP="003A5979">
      <w:pPr>
        <w:rPr>
          <w:rFonts w:ascii="Arial" w:hAnsi="Arial" w:cs="Arial"/>
          <w:b/>
          <w:sz w:val="20"/>
          <w:szCs w:val="20"/>
        </w:rPr>
      </w:pPr>
    </w:p>
    <w:p w:rsidR="003A5979" w:rsidRPr="007712A8" w:rsidRDefault="003A5979" w:rsidP="003A5979">
      <w:pPr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OGÓLNE WARUNKI GWARANCJI</w:t>
      </w:r>
    </w:p>
    <w:p w:rsidR="003A5979" w:rsidRPr="007712A8" w:rsidRDefault="003A5979" w:rsidP="003A5979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Wykonawca (Gwarant) </w:t>
      </w:r>
      <w:r w:rsidR="00C0360F">
        <w:rPr>
          <w:rFonts w:ascii="Arial" w:hAnsi="Arial" w:cs="Arial"/>
          <w:sz w:val="20"/>
          <w:szCs w:val="20"/>
        </w:rPr>
        <w:t>o</w:t>
      </w:r>
      <w:r w:rsidRPr="007712A8">
        <w:rPr>
          <w:rFonts w:ascii="Arial" w:hAnsi="Arial" w:cs="Arial"/>
          <w:sz w:val="20"/>
          <w:szCs w:val="20"/>
        </w:rPr>
        <w:t>świadcz</w:t>
      </w:r>
      <w:r w:rsidR="00C0360F">
        <w:rPr>
          <w:rFonts w:ascii="Arial" w:hAnsi="Arial" w:cs="Arial"/>
          <w:sz w:val="20"/>
          <w:szCs w:val="20"/>
        </w:rPr>
        <w:t>a</w:t>
      </w:r>
      <w:r w:rsidRPr="007712A8">
        <w:rPr>
          <w:rFonts w:ascii="Arial" w:hAnsi="Arial" w:cs="Arial"/>
          <w:sz w:val="20"/>
          <w:szCs w:val="20"/>
        </w:rPr>
        <w:t xml:space="preserve"> i zapewnia Zamawiające</w:t>
      </w:r>
      <w:r w:rsidR="00C0360F">
        <w:rPr>
          <w:rFonts w:ascii="Arial" w:hAnsi="Arial" w:cs="Arial"/>
          <w:sz w:val="20"/>
          <w:szCs w:val="20"/>
        </w:rPr>
        <w:t>go</w:t>
      </w:r>
      <w:r w:rsidRPr="007712A8">
        <w:rPr>
          <w:rFonts w:ascii="Arial" w:hAnsi="Arial" w:cs="Arial"/>
          <w:sz w:val="20"/>
          <w:szCs w:val="20"/>
        </w:rPr>
        <w:t xml:space="preserve"> (Uprawnionego z</w:t>
      </w:r>
      <w:r w:rsidR="004D028C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 xml:space="preserve">Gwarancji/Użytkownika), że wykonane przez </w:t>
      </w:r>
      <w:r w:rsidR="00C0360F">
        <w:rPr>
          <w:rFonts w:ascii="Arial" w:hAnsi="Arial" w:cs="Arial"/>
          <w:sz w:val="20"/>
          <w:szCs w:val="20"/>
        </w:rPr>
        <w:t xml:space="preserve">Wykonawcę </w:t>
      </w:r>
      <w:r w:rsidRPr="007712A8">
        <w:rPr>
          <w:rFonts w:ascii="Arial" w:hAnsi="Arial" w:cs="Arial"/>
          <w:sz w:val="20"/>
          <w:szCs w:val="20"/>
        </w:rPr>
        <w:t xml:space="preserve">roboty objęte przedmiotem </w:t>
      </w:r>
      <w:r w:rsidR="004D028C">
        <w:rPr>
          <w:rFonts w:ascii="Arial" w:hAnsi="Arial" w:cs="Arial"/>
          <w:sz w:val="20"/>
          <w:szCs w:val="20"/>
        </w:rPr>
        <w:t>Um</w:t>
      </w:r>
      <w:r w:rsidRPr="007712A8">
        <w:rPr>
          <w:rFonts w:ascii="Arial" w:hAnsi="Arial" w:cs="Arial"/>
          <w:sz w:val="20"/>
          <w:szCs w:val="20"/>
        </w:rPr>
        <w:t>owy zostały wykonane prawidłowo, zgodnie z Umową, a także zgodnie z najlepszą wiedzą Wykonawcy (Gwaranta) oraz aktualnie obowiązującymi zasadami wiedzy technicznej</w:t>
      </w:r>
      <w:r w:rsidR="00C0360F">
        <w:rPr>
          <w:rFonts w:ascii="Arial" w:hAnsi="Arial" w:cs="Arial"/>
          <w:sz w:val="20"/>
          <w:szCs w:val="20"/>
        </w:rPr>
        <w:t>,</w:t>
      </w:r>
      <w:r w:rsidRPr="007712A8">
        <w:rPr>
          <w:rFonts w:ascii="Arial" w:hAnsi="Arial" w:cs="Arial"/>
          <w:sz w:val="20"/>
          <w:szCs w:val="20"/>
        </w:rPr>
        <w:t xml:space="preserve"> sztuk</w:t>
      </w:r>
      <w:r w:rsidR="00C0360F">
        <w:rPr>
          <w:rFonts w:ascii="Arial" w:hAnsi="Arial" w:cs="Arial"/>
          <w:sz w:val="20"/>
          <w:szCs w:val="20"/>
        </w:rPr>
        <w:t>ą</w:t>
      </w:r>
      <w:r w:rsidRPr="007712A8">
        <w:rPr>
          <w:rFonts w:ascii="Arial" w:hAnsi="Arial" w:cs="Arial"/>
          <w:sz w:val="20"/>
          <w:szCs w:val="20"/>
        </w:rPr>
        <w:t xml:space="preserve"> </w:t>
      </w:r>
      <w:r w:rsidR="00C0360F" w:rsidRPr="007712A8">
        <w:rPr>
          <w:rFonts w:ascii="Arial" w:hAnsi="Arial" w:cs="Arial"/>
          <w:sz w:val="20"/>
          <w:szCs w:val="20"/>
        </w:rPr>
        <w:t>budowlan</w:t>
      </w:r>
      <w:r w:rsidR="00C0360F">
        <w:rPr>
          <w:rFonts w:ascii="Arial" w:hAnsi="Arial" w:cs="Arial"/>
          <w:sz w:val="20"/>
          <w:szCs w:val="20"/>
        </w:rPr>
        <w:t xml:space="preserve">ą </w:t>
      </w:r>
      <w:r w:rsidRPr="007712A8">
        <w:rPr>
          <w:rFonts w:ascii="Arial" w:hAnsi="Arial" w:cs="Arial"/>
          <w:sz w:val="20"/>
          <w:szCs w:val="20"/>
        </w:rPr>
        <w:t xml:space="preserve">obowiązującymi przepisami prawa oraz istniejącymi w tym zakresie Polskimi Normami. Poprzez niniejszą gwarancję Wykonawca (Gwarant) przejmuje na siebie wszelką odpowiedzialność za wady robót powstałe na skutek niezachowania przez Wykonawcę (Gwaranta) któregokolwiek z </w:t>
      </w:r>
      <w:r w:rsidR="00C0360F">
        <w:rPr>
          <w:rFonts w:ascii="Arial" w:hAnsi="Arial" w:cs="Arial"/>
          <w:sz w:val="20"/>
          <w:szCs w:val="20"/>
        </w:rPr>
        <w:t xml:space="preserve">wyżej wymienionych </w:t>
      </w:r>
      <w:r w:rsidRPr="007712A8">
        <w:rPr>
          <w:rFonts w:ascii="Arial" w:hAnsi="Arial" w:cs="Arial"/>
          <w:sz w:val="20"/>
          <w:szCs w:val="20"/>
        </w:rPr>
        <w:t>obowiązków Wykonawcy (Gwaranta).</w:t>
      </w:r>
    </w:p>
    <w:p w:rsidR="003A5979" w:rsidRPr="007712A8" w:rsidRDefault="003A5979" w:rsidP="003A5979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Jeżeli warunki gwarancji udzielonej przez producenta materiałów i urządzeń </w:t>
      </w:r>
      <w:r w:rsidR="00C0360F">
        <w:rPr>
          <w:rFonts w:ascii="Arial" w:hAnsi="Arial" w:cs="Arial"/>
          <w:sz w:val="20"/>
          <w:szCs w:val="20"/>
        </w:rPr>
        <w:t xml:space="preserve">użytych przy wykonywaniu Umowy </w:t>
      </w:r>
      <w:r w:rsidRPr="007712A8">
        <w:rPr>
          <w:rFonts w:ascii="Arial" w:hAnsi="Arial" w:cs="Arial"/>
          <w:sz w:val="20"/>
          <w:szCs w:val="20"/>
        </w:rPr>
        <w:t xml:space="preserve">przewidują dłuższy okres gwarancji niż gwarancja udzielona </w:t>
      </w:r>
      <w:r w:rsidR="00C0360F">
        <w:rPr>
          <w:rFonts w:ascii="Arial" w:hAnsi="Arial" w:cs="Arial"/>
          <w:sz w:val="20"/>
          <w:szCs w:val="20"/>
        </w:rPr>
        <w:t xml:space="preserve">w niniejszym dokumencie </w:t>
      </w:r>
      <w:r w:rsidRPr="007712A8">
        <w:rPr>
          <w:rFonts w:ascii="Arial" w:hAnsi="Arial" w:cs="Arial"/>
          <w:sz w:val="20"/>
          <w:szCs w:val="20"/>
        </w:rPr>
        <w:t>przez Wykonawcę (Gwaranta)</w:t>
      </w:r>
      <w:r w:rsidR="00C0360F">
        <w:rPr>
          <w:rFonts w:ascii="Arial" w:hAnsi="Arial" w:cs="Arial"/>
          <w:sz w:val="20"/>
          <w:szCs w:val="20"/>
        </w:rPr>
        <w:t xml:space="preserve">, </w:t>
      </w:r>
      <w:r w:rsidRPr="007712A8">
        <w:rPr>
          <w:rFonts w:ascii="Arial" w:hAnsi="Arial" w:cs="Arial"/>
          <w:sz w:val="20"/>
          <w:szCs w:val="20"/>
        </w:rPr>
        <w:t>obowiązuje okres gwarancji w wymiarze równym okresowi gwarancji producenta.</w:t>
      </w:r>
    </w:p>
    <w:p w:rsidR="003A5979" w:rsidRPr="007712A8" w:rsidRDefault="003A5979" w:rsidP="003A5979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Wykonawca (Gwarant) ponosi odpowiedzialność z tytułu gwarancji jakości za wszelkie wady fizyczne zmniejszające w szczególności wartość użytkową, techniczną </w:t>
      </w:r>
      <w:r w:rsidR="00C0360F">
        <w:rPr>
          <w:rFonts w:ascii="Arial" w:hAnsi="Arial" w:cs="Arial"/>
          <w:sz w:val="20"/>
          <w:szCs w:val="20"/>
        </w:rPr>
        <w:t xml:space="preserve">lub </w:t>
      </w:r>
      <w:r w:rsidRPr="007712A8">
        <w:rPr>
          <w:rFonts w:ascii="Arial" w:hAnsi="Arial" w:cs="Arial"/>
          <w:sz w:val="20"/>
          <w:szCs w:val="20"/>
        </w:rPr>
        <w:t>estetyczną wykonanych robót.</w:t>
      </w:r>
    </w:p>
    <w:p w:rsidR="003A5979" w:rsidRPr="007712A8" w:rsidRDefault="003A5979" w:rsidP="003A5979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Zamawiający (Uprawniony z gwarancji/Użytkownik) może dochodzić roszczeń wynikających z</w:t>
      </w:r>
      <w:r w:rsidR="004D028C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 xml:space="preserve">gwarancji także po upływie terminu gwarancji, jeżeli </w:t>
      </w:r>
      <w:r w:rsidR="00C0360F">
        <w:rPr>
          <w:rFonts w:ascii="Arial" w:hAnsi="Arial" w:cs="Arial"/>
          <w:sz w:val="20"/>
          <w:szCs w:val="20"/>
        </w:rPr>
        <w:t xml:space="preserve">zgłosił Gwarantowi </w:t>
      </w:r>
      <w:r w:rsidRPr="007712A8">
        <w:rPr>
          <w:rFonts w:ascii="Arial" w:hAnsi="Arial" w:cs="Arial"/>
          <w:sz w:val="20"/>
          <w:szCs w:val="20"/>
        </w:rPr>
        <w:t>wadę przed upływem tego terminu. W takim przypadku roszczenia Zamawiającego (Uprawnionego z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 xml:space="preserve">gwarancji/Użytkownika) wygasają w ciągu </w:t>
      </w:r>
      <w:r w:rsidR="004D028C">
        <w:rPr>
          <w:rFonts w:ascii="Arial" w:hAnsi="Arial" w:cs="Arial"/>
          <w:sz w:val="20"/>
          <w:szCs w:val="20"/>
        </w:rPr>
        <w:t>1 (jednego) roku od momentu upływu okresu gwarancji.</w:t>
      </w:r>
    </w:p>
    <w:p w:rsidR="003A5979" w:rsidRPr="007712A8" w:rsidRDefault="003A5979" w:rsidP="003A5979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Wykonawca (Gwarant) obowiązany jes</w:t>
      </w:r>
      <w:r w:rsidR="004D028C">
        <w:rPr>
          <w:rFonts w:ascii="Arial" w:hAnsi="Arial" w:cs="Arial"/>
          <w:sz w:val="20"/>
          <w:szCs w:val="20"/>
        </w:rPr>
        <w:t>t do nieodpłatnego usuwania wad.</w:t>
      </w:r>
    </w:p>
    <w:p w:rsidR="003A5979" w:rsidRPr="007712A8" w:rsidRDefault="003A5979" w:rsidP="003A5979">
      <w:pPr>
        <w:jc w:val="both"/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USUWANIE WAD</w:t>
      </w:r>
    </w:p>
    <w:p w:rsidR="003A5979" w:rsidRPr="007712A8" w:rsidRDefault="003A5979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Ustala się poniższe terminy usuwania wad:</w:t>
      </w:r>
    </w:p>
    <w:tbl>
      <w:tblPr>
        <w:tblStyle w:val="Tabela-Siatka"/>
        <w:tblW w:w="9143" w:type="dxa"/>
        <w:tblInd w:w="66" w:type="dxa"/>
        <w:tblLook w:val="04A0"/>
      </w:tblPr>
      <w:tblGrid>
        <w:gridCol w:w="638"/>
        <w:gridCol w:w="3828"/>
        <w:gridCol w:w="3401"/>
        <w:gridCol w:w="1276"/>
      </w:tblGrid>
      <w:tr w:rsidR="003A5979" w:rsidRPr="007712A8" w:rsidTr="00847C24">
        <w:tc>
          <w:tcPr>
            <w:tcW w:w="638" w:type="dxa"/>
            <w:shd w:val="clear" w:color="auto" w:fill="F2F2F2" w:themeFill="background1" w:themeFillShade="F2"/>
          </w:tcPr>
          <w:p w:rsidR="003A5979" w:rsidRPr="007712A8" w:rsidRDefault="003A5979" w:rsidP="00847C2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2A8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3A5979" w:rsidRPr="007712A8" w:rsidRDefault="003A5979" w:rsidP="00847C2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2A8">
              <w:rPr>
                <w:rFonts w:ascii="Arial" w:hAnsi="Arial" w:cs="Arial"/>
                <w:b/>
                <w:i/>
                <w:sz w:val="20"/>
                <w:szCs w:val="20"/>
              </w:rPr>
              <w:t>Rodzaj wady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</w:tcPr>
          <w:p w:rsidR="003A5979" w:rsidRPr="007712A8" w:rsidRDefault="003A5979" w:rsidP="00847C2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12A8">
              <w:rPr>
                <w:rFonts w:ascii="Arial" w:hAnsi="Arial" w:cs="Arial"/>
                <w:b/>
                <w:i/>
                <w:sz w:val="20"/>
                <w:szCs w:val="20"/>
              </w:rPr>
              <w:t>Termin usunięcia</w:t>
            </w:r>
          </w:p>
        </w:tc>
      </w:tr>
      <w:tr w:rsidR="003A5979" w:rsidRPr="007712A8" w:rsidTr="00847C24">
        <w:tc>
          <w:tcPr>
            <w:tcW w:w="638" w:type="dxa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Wada uniemożliwiająca prawidłowe użytkowanie obiektu</w:t>
            </w:r>
          </w:p>
        </w:tc>
        <w:tc>
          <w:tcPr>
            <w:tcW w:w="3401" w:type="dxa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Usunięcie wady</w:t>
            </w:r>
          </w:p>
        </w:tc>
        <w:tc>
          <w:tcPr>
            <w:tcW w:w="1276" w:type="dxa"/>
            <w:vAlign w:val="center"/>
          </w:tcPr>
          <w:p w:rsidR="003A5979" w:rsidRPr="007712A8" w:rsidRDefault="004D028C" w:rsidP="0084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………. </w:t>
            </w:r>
            <w:r w:rsidR="003A5979" w:rsidRPr="007712A8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</w:tr>
      <w:tr w:rsidR="003A5979" w:rsidRPr="007712A8" w:rsidTr="00847C24">
        <w:tc>
          <w:tcPr>
            <w:tcW w:w="638" w:type="dxa"/>
            <w:vMerge w:val="restart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Pozostałe wady</w:t>
            </w:r>
          </w:p>
        </w:tc>
        <w:tc>
          <w:tcPr>
            <w:tcW w:w="3401" w:type="dxa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Przystąpienie do usuwania wady – liczone od zgłoszenia wady</w:t>
            </w:r>
          </w:p>
        </w:tc>
        <w:tc>
          <w:tcPr>
            <w:tcW w:w="1276" w:type="dxa"/>
            <w:vAlign w:val="center"/>
          </w:tcPr>
          <w:p w:rsidR="003A5979" w:rsidRPr="007712A8" w:rsidRDefault="003A5979" w:rsidP="0084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</w:tr>
      <w:tr w:rsidR="003A5979" w:rsidRPr="007712A8" w:rsidTr="00847C24">
        <w:tc>
          <w:tcPr>
            <w:tcW w:w="638" w:type="dxa"/>
            <w:vMerge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3A5979" w:rsidRPr="007712A8" w:rsidRDefault="003A5979" w:rsidP="00847C24">
            <w:pPr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Usunięcie wady</w:t>
            </w:r>
          </w:p>
        </w:tc>
        <w:tc>
          <w:tcPr>
            <w:tcW w:w="1276" w:type="dxa"/>
            <w:vAlign w:val="center"/>
          </w:tcPr>
          <w:p w:rsidR="003A5979" w:rsidRPr="007712A8" w:rsidRDefault="003A5979" w:rsidP="00847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2A8">
              <w:rPr>
                <w:rFonts w:ascii="Arial" w:hAnsi="Arial" w:cs="Arial"/>
                <w:sz w:val="20"/>
                <w:szCs w:val="20"/>
              </w:rPr>
              <w:t>Do 7 dni</w:t>
            </w:r>
          </w:p>
        </w:tc>
      </w:tr>
    </w:tbl>
    <w:p w:rsidR="003A5979" w:rsidRPr="007712A8" w:rsidRDefault="003A5979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lastRenderedPageBreak/>
        <w:t xml:space="preserve">Usunięcie wady uważa się za </w:t>
      </w:r>
      <w:r w:rsidR="00C0360F">
        <w:rPr>
          <w:rFonts w:ascii="Arial" w:hAnsi="Arial" w:cs="Arial"/>
          <w:sz w:val="20"/>
          <w:szCs w:val="20"/>
        </w:rPr>
        <w:t xml:space="preserve">dokonane </w:t>
      </w:r>
      <w:r w:rsidRPr="007712A8">
        <w:rPr>
          <w:rFonts w:ascii="Arial" w:hAnsi="Arial" w:cs="Arial"/>
          <w:sz w:val="20"/>
          <w:szCs w:val="20"/>
        </w:rPr>
        <w:t>z datą podpisania przez Strony Protokołu usunięcia wady.</w:t>
      </w:r>
    </w:p>
    <w:p w:rsidR="003A5979" w:rsidRPr="007712A8" w:rsidRDefault="003A5979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Jeżeli Wykonawca (Gwarant) nie wypełni obowiązku usunięcia wady w uzgodnionym terminie, Zamawiający (Uprawniony z gwarancji/Użytkownik) będzie upoważniony do zlecenia usunięcia wady podmiotowi trzeciemu</w:t>
      </w:r>
      <w:r w:rsidR="00C0360F">
        <w:rPr>
          <w:rFonts w:ascii="Arial" w:hAnsi="Arial" w:cs="Arial"/>
          <w:sz w:val="20"/>
          <w:szCs w:val="20"/>
        </w:rPr>
        <w:t xml:space="preserve"> na koszt i ryzyko Wykonawcy (Gwaranta)</w:t>
      </w:r>
      <w:r w:rsidRPr="007712A8">
        <w:rPr>
          <w:rFonts w:ascii="Arial" w:hAnsi="Arial" w:cs="Arial"/>
          <w:sz w:val="20"/>
          <w:szCs w:val="20"/>
        </w:rPr>
        <w:t xml:space="preserve">, a Wykonawca (Gwarant) zostanie obciążony kosztami takiego zlecenia, bez utraty </w:t>
      </w:r>
      <w:r w:rsidR="00C0360F">
        <w:rPr>
          <w:rFonts w:ascii="Arial" w:hAnsi="Arial" w:cs="Arial"/>
          <w:sz w:val="20"/>
          <w:szCs w:val="20"/>
        </w:rPr>
        <w:t xml:space="preserve">przez Zamawiającego </w:t>
      </w:r>
      <w:r w:rsidRPr="007712A8">
        <w:rPr>
          <w:rFonts w:ascii="Arial" w:hAnsi="Arial" w:cs="Arial"/>
          <w:sz w:val="20"/>
          <w:szCs w:val="20"/>
        </w:rPr>
        <w:t>uprawnień wynikających z gwarancji.</w:t>
      </w:r>
      <w:r w:rsidR="004D028C">
        <w:rPr>
          <w:rFonts w:ascii="Arial" w:hAnsi="Arial" w:cs="Arial"/>
          <w:sz w:val="20"/>
          <w:szCs w:val="20"/>
        </w:rPr>
        <w:t xml:space="preserve"> Zlecenie usunięcia wad podmiotowi trzeciemu w przypadku, o którym mowa w zdaniu poprzedzającym, może zostać dokonane przez Zamawiającego w przypadku bezskutecznego wezwania (w formie pisemnej) Wykonawcy (Gwaranta) do usunięcia wady w nieprzekraczalnym terminie 3 dni.</w:t>
      </w:r>
    </w:p>
    <w:p w:rsidR="003A5979" w:rsidRPr="007712A8" w:rsidRDefault="003A5979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W przypadku usunięcia przez Wykonawcę (Gwaranta) wady</w:t>
      </w:r>
      <w:r w:rsidR="004D028C">
        <w:rPr>
          <w:rFonts w:ascii="Arial" w:hAnsi="Arial" w:cs="Arial"/>
          <w:sz w:val="20"/>
          <w:szCs w:val="20"/>
        </w:rPr>
        <w:t xml:space="preserve"> poprzez wymianę wadliwych </w:t>
      </w:r>
      <w:r w:rsidR="00D82E5F">
        <w:rPr>
          <w:rFonts w:ascii="Arial" w:hAnsi="Arial" w:cs="Arial"/>
          <w:sz w:val="20"/>
          <w:szCs w:val="20"/>
        </w:rPr>
        <w:t xml:space="preserve">rzeczy lub </w:t>
      </w:r>
      <w:r w:rsidR="004D028C">
        <w:rPr>
          <w:rFonts w:ascii="Arial" w:hAnsi="Arial" w:cs="Arial"/>
          <w:sz w:val="20"/>
          <w:szCs w:val="20"/>
        </w:rPr>
        <w:t>elementów na nowe</w:t>
      </w:r>
      <w:r w:rsidRPr="007712A8">
        <w:rPr>
          <w:rFonts w:ascii="Arial" w:hAnsi="Arial" w:cs="Arial"/>
          <w:sz w:val="20"/>
          <w:szCs w:val="20"/>
        </w:rPr>
        <w:t xml:space="preserve"> lub wykonania wadliwej części</w:t>
      </w:r>
      <w:r w:rsidR="00D82E5F">
        <w:rPr>
          <w:rFonts w:ascii="Arial" w:hAnsi="Arial" w:cs="Arial"/>
          <w:sz w:val="20"/>
          <w:szCs w:val="20"/>
        </w:rPr>
        <w:t xml:space="preserve"> robót</w:t>
      </w:r>
      <w:r w:rsidRPr="007712A8">
        <w:rPr>
          <w:rFonts w:ascii="Arial" w:hAnsi="Arial" w:cs="Arial"/>
          <w:sz w:val="20"/>
          <w:szCs w:val="20"/>
        </w:rPr>
        <w:t xml:space="preserve"> na nowo, </w:t>
      </w:r>
      <w:r w:rsidR="00D82E5F">
        <w:rPr>
          <w:rFonts w:ascii="Arial" w:hAnsi="Arial" w:cs="Arial"/>
          <w:sz w:val="20"/>
          <w:szCs w:val="20"/>
        </w:rPr>
        <w:t>okres</w:t>
      </w:r>
      <w:r w:rsidRPr="007712A8">
        <w:rPr>
          <w:rFonts w:ascii="Arial" w:hAnsi="Arial" w:cs="Arial"/>
          <w:sz w:val="20"/>
          <w:szCs w:val="20"/>
        </w:rPr>
        <w:t xml:space="preserve"> gwarancji biegnie na nowo od chwili usunięcia wad lub wykonania</w:t>
      </w:r>
      <w:r w:rsidR="00D82E5F">
        <w:rPr>
          <w:rFonts w:ascii="Arial" w:hAnsi="Arial" w:cs="Arial"/>
          <w:sz w:val="20"/>
          <w:szCs w:val="20"/>
        </w:rPr>
        <w:t xml:space="preserve"> tych</w:t>
      </w:r>
      <w:r w:rsidRPr="007712A8">
        <w:rPr>
          <w:rFonts w:ascii="Arial" w:hAnsi="Arial" w:cs="Arial"/>
          <w:sz w:val="20"/>
          <w:szCs w:val="20"/>
        </w:rPr>
        <w:t xml:space="preserve"> robót.</w:t>
      </w:r>
    </w:p>
    <w:p w:rsidR="004D028C" w:rsidRPr="007712A8" w:rsidRDefault="003A5979" w:rsidP="004D028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W innych przypadkach </w:t>
      </w:r>
      <w:r w:rsidR="004D028C">
        <w:rPr>
          <w:rFonts w:ascii="Arial" w:hAnsi="Arial" w:cs="Arial"/>
          <w:sz w:val="20"/>
          <w:szCs w:val="20"/>
        </w:rPr>
        <w:t xml:space="preserve">niż wskazane w </w:t>
      </w:r>
      <w:proofErr w:type="spellStart"/>
      <w:r w:rsidR="004D028C">
        <w:rPr>
          <w:rFonts w:ascii="Arial" w:hAnsi="Arial" w:cs="Arial"/>
          <w:sz w:val="20"/>
          <w:szCs w:val="20"/>
        </w:rPr>
        <w:t>pkt</w:t>
      </w:r>
      <w:proofErr w:type="spellEnd"/>
      <w:r w:rsidR="004D028C">
        <w:rPr>
          <w:rFonts w:ascii="Arial" w:hAnsi="Arial" w:cs="Arial"/>
          <w:sz w:val="20"/>
          <w:szCs w:val="20"/>
        </w:rPr>
        <w:t xml:space="preserve"> 4 powyżej, </w:t>
      </w:r>
      <w:r w:rsidRPr="007712A8">
        <w:rPr>
          <w:rFonts w:ascii="Arial" w:hAnsi="Arial" w:cs="Arial"/>
          <w:sz w:val="20"/>
          <w:szCs w:val="20"/>
        </w:rPr>
        <w:t xml:space="preserve">termin gwarancji ulega przedłużeniu </w:t>
      </w:r>
      <w:r w:rsidR="00B069B2">
        <w:rPr>
          <w:rFonts w:ascii="Arial" w:hAnsi="Arial" w:cs="Arial"/>
          <w:sz w:val="20"/>
          <w:szCs w:val="20"/>
        </w:rPr>
        <w:t>o</w:t>
      </w:r>
      <w:r w:rsidR="004506A1">
        <w:rPr>
          <w:rFonts w:ascii="Arial" w:hAnsi="Arial" w:cs="Arial"/>
          <w:sz w:val="20"/>
          <w:szCs w:val="20"/>
        </w:rPr>
        <w:t> </w:t>
      </w:r>
      <w:r w:rsidR="004D028C">
        <w:rPr>
          <w:rFonts w:ascii="Arial" w:hAnsi="Arial" w:cs="Arial"/>
          <w:sz w:val="20"/>
          <w:szCs w:val="20"/>
        </w:rPr>
        <w:t>czas od zgłoszenia wady przez</w:t>
      </w:r>
      <w:r w:rsidRPr="007712A8">
        <w:rPr>
          <w:rFonts w:ascii="Arial" w:hAnsi="Arial" w:cs="Arial"/>
          <w:sz w:val="20"/>
          <w:szCs w:val="20"/>
        </w:rPr>
        <w:t xml:space="preserve"> Zamawiając</w:t>
      </w:r>
      <w:r w:rsidR="004D028C">
        <w:rPr>
          <w:rFonts w:ascii="Arial" w:hAnsi="Arial" w:cs="Arial"/>
          <w:sz w:val="20"/>
          <w:szCs w:val="20"/>
        </w:rPr>
        <w:t>ego do podpisania Protokołu usunięcia wady.</w:t>
      </w:r>
    </w:p>
    <w:p w:rsidR="003A5979" w:rsidRPr="007712A8" w:rsidRDefault="00C45E08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A5979" w:rsidRPr="007712A8">
        <w:rPr>
          <w:rFonts w:ascii="Arial" w:hAnsi="Arial" w:cs="Arial"/>
          <w:sz w:val="20"/>
          <w:szCs w:val="20"/>
        </w:rPr>
        <w:t xml:space="preserve"> gwarancji </w:t>
      </w:r>
      <w:r>
        <w:rPr>
          <w:rFonts w:ascii="Arial" w:hAnsi="Arial" w:cs="Arial"/>
          <w:sz w:val="20"/>
          <w:szCs w:val="20"/>
        </w:rPr>
        <w:t xml:space="preserve">wyłączone są </w:t>
      </w:r>
      <w:r w:rsidR="003A5979" w:rsidRPr="007712A8">
        <w:rPr>
          <w:rFonts w:ascii="Arial" w:hAnsi="Arial" w:cs="Arial"/>
          <w:sz w:val="20"/>
          <w:szCs w:val="20"/>
        </w:rPr>
        <w:t>wady powstałe na skutek:</w:t>
      </w:r>
    </w:p>
    <w:p w:rsidR="003A5979" w:rsidRPr="007712A8" w:rsidRDefault="003A5979" w:rsidP="003A5979">
      <w:pPr>
        <w:pStyle w:val="Akapitzlist"/>
        <w:numPr>
          <w:ilvl w:val="1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siły wyższej;</w:t>
      </w:r>
    </w:p>
    <w:p w:rsidR="003A5979" w:rsidRPr="007712A8" w:rsidRDefault="003A5979" w:rsidP="003A5979">
      <w:pPr>
        <w:pStyle w:val="Akapitzlist"/>
        <w:numPr>
          <w:ilvl w:val="1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normalnego zużycia obiektu lub jego części;</w:t>
      </w:r>
    </w:p>
    <w:p w:rsidR="003A5979" w:rsidRPr="007712A8" w:rsidRDefault="003A5979" w:rsidP="003A5979">
      <w:pPr>
        <w:pStyle w:val="Akapitzlist"/>
        <w:numPr>
          <w:ilvl w:val="1"/>
          <w:numId w:val="2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szkód wynikłych z winy Zamawiającego (Uprawnionego z gwarancji), a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szczególnie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konserwacji i użytkowania obiektu w sposób niezgodny z zasadami eksploatacji i użytkowania.</w:t>
      </w:r>
    </w:p>
    <w:p w:rsidR="003A5979" w:rsidRPr="007712A8" w:rsidRDefault="003A5979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W celu umożliwienia kwalifikacji zgłoszonych wad, przyczyn ich powstania i sposobu usunięcia Zamawiający (Uprawniony z gwarancji/Użytkownik) zobowiązuje się do przechowania otrzymanej w dniu odbioru dokumentacji powykonawczej i protokołu przekazania Robót do użytkowania.</w:t>
      </w:r>
    </w:p>
    <w:p w:rsidR="003A5979" w:rsidRPr="007712A8" w:rsidRDefault="003A5979" w:rsidP="003A5979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Wykonawca (Gwarant) jest odpowiedzialny za </w:t>
      </w:r>
      <w:r w:rsidR="001A629A">
        <w:rPr>
          <w:rFonts w:ascii="Arial" w:hAnsi="Arial" w:cs="Arial"/>
          <w:sz w:val="20"/>
          <w:szCs w:val="20"/>
        </w:rPr>
        <w:t xml:space="preserve">wszelkie </w:t>
      </w:r>
      <w:r w:rsidRPr="007712A8">
        <w:rPr>
          <w:rFonts w:ascii="Arial" w:hAnsi="Arial" w:cs="Arial"/>
          <w:sz w:val="20"/>
          <w:szCs w:val="20"/>
        </w:rPr>
        <w:t xml:space="preserve">szkody, które spowodował w czasie prac </w:t>
      </w:r>
      <w:r w:rsidR="001A629A">
        <w:rPr>
          <w:rFonts w:ascii="Arial" w:hAnsi="Arial" w:cs="Arial"/>
          <w:sz w:val="20"/>
          <w:szCs w:val="20"/>
        </w:rPr>
        <w:t xml:space="preserve">związanych z </w:t>
      </w:r>
      <w:r w:rsidRPr="007712A8">
        <w:rPr>
          <w:rFonts w:ascii="Arial" w:hAnsi="Arial" w:cs="Arial"/>
          <w:sz w:val="20"/>
          <w:szCs w:val="20"/>
        </w:rPr>
        <w:t>usuwaniem wad.</w:t>
      </w:r>
    </w:p>
    <w:p w:rsidR="004506A1" w:rsidRPr="00C14ECE" w:rsidRDefault="004506A1" w:rsidP="003A5979">
      <w:pPr>
        <w:jc w:val="both"/>
        <w:rPr>
          <w:rFonts w:ascii="Arial" w:hAnsi="Arial" w:cs="Arial"/>
          <w:b/>
          <w:sz w:val="2"/>
          <w:szCs w:val="20"/>
        </w:rPr>
      </w:pPr>
      <w:bookmarkStart w:id="0" w:name="_GoBack"/>
    </w:p>
    <w:bookmarkEnd w:id="0"/>
    <w:p w:rsidR="003A5979" w:rsidRPr="007712A8" w:rsidRDefault="003A5979" w:rsidP="003A5979">
      <w:pPr>
        <w:jc w:val="both"/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PRZEGLĄDY GWARANCYJNE</w:t>
      </w:r>
    </w:p>
    <w:p w:rsidR="003A5979" w:rsidRPr="007712A8" w:rsidRDefault="003A5979" w:rsidP="003A597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Komisyjne przeglądy gwarancyjne odbywać się będą dwa razy w roku w miesiącu maju i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wrześniu w okresie obo</w:t>
      </w:r>
      <w:r w:rsidR="00D82E5F">
        <w:rPr>
          <w:rFonts w:ascii="Arial" w:hAnsi="Arial" w:cs="Arial"/>
          <w:sz w:val="20"/>
          <w:szCs w:val="20"/>
        </w:rPr>
        <w:t>wiązywania niniejszej gwarancji z udziałem przedstawicieli Zamawiającego i Wykonawcy (Gwaranta).</w:t>
      </w:r>
    </w:p>
    <w:p w:rsidR="003A5979" w:rsidRPr="007712A8" w:rsidRDefault="003A5979" w:rsidP="003A597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Datę, godzinę i miejsce dokonania przeglądu gwarancyjnego wyznacza Zamawiający (Uprawniony gwarancji/Użytkownik), zawiadamiając o nim Wykonawcę (Gwaranta) na piśmie, z</w:t>
      </w:r>
      <w:r w:rsidR="004506A1">
        <w:rPr>
          <w:rFonts w:ascii="Arial" w:hAnsi="Arial" w:cs="Arial"/>
          <w:sz w:val="20"/>
          <w:szCs w:val="20"/>
        </w:rPr>
        <w:t> </w:t>
      </w:r>
      <w:r w:rsidR="000C73CC">
        <w:rPr>
          <w:rFonts w:ascii="Arial" w:hAnsi="Arial" w:cs="Arial"/>
          <w:sz w:val="20"/>
          <w:szCs w:val="20"/>
        </w:rPr>
        <w:t xml:space="preserve">co </w:t>
      </w:r>
      <w:r w:rsidRPr="007712A8">
        <w:rPr>
          <w:rFonts w:ascii="Arial" w:hAnsi="Arial" w:cs="Arial"/>
          <w:sz w:val="20"/>
          <w:szCs w:val="20"/>
        </w:rPr>
        <w:t xml:space="preserve"> najmniej 14 dniowym wyprzedzeniem. Wykonawca (Gwarant) jest obowiązany uczestniczyć w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przeglądach gwarancyjnych.</w:t>
      </w:r>
    </w:p>
    <w:p w:rsidR="003A5979" w:rsidRPr="007712A8" w:rsidRDefault="003A5979" w:rsidP="003A597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W skład komisji przeglądowej będą wchodziły co najmniej 2 osoby wyznaczone przez Zamawiającego (Uprawnionego z gwarancji/Użytkownika) oraz co najmniej 2 osoby wyznaczone przez Wykonawcę (Gwaranta). Wykonawca (Gwarant) wskaże wyznaczone osoby na piśmie najpóźniej na 7 dni przed planowanym przeglądem.</w:t>
      </w:r>
    </w:p>
    <w:p w:rsidR="003A5979" w:rsidRPr="007712A8" w:rsidRDefault="003A5979" w:rsidP="003A597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Jeżeli Wykonawca (Gwarant)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3A5979" w:rsidRPr="007712A8" w:rsidRDefault="003A5979" w:rsidP="003A597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co najmniej dwóch egzemplarzach, po jednym dla Zamawiającego (Uprawnionego z gwarancji/Użytkownika) i dla Wykonawcy (Gwaranta). W przypadku nieobecności przedstawicieli Wykonawcy (Gwaranta), Zamawiający (Uprawniony z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gwarancji/Użytkownik) niezwłocznie prześle Wykonawcy (Gwarantowi) jeden egzemplarz Protokołu Przeglądu.</w:t>
      </w:r>
    </w:p>
    <w:p w:rsidR="003A5979" w:rsidRPr="007712A8" w:rsidRDefault="003A5979" w:rsidP="003A597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Na miesiąc przed upływem okresu gwarancji Zamawiający (Uprawniony z gwarancji/Użytkownik) dokona końcowego przeglądu gwarancyjnego. Stwierdzone wady Wykonawca (Gwarant) usunie w ciągu 14 dni od sporządzenia Protokołu. Postanowienia punktów 2, 3, 4 i 5 stosuje się odpowiednio.</w:t>
      </w:r>
    </w:p>
    <w:p w:rsidR="004506A1" w:rsidRDefault="004506A1" w:rsidP="003A5979">
      <w:pPr>
        <w:jc w:val="both"/>
        <w:rPr>
          <w:rFonts w:ascii="Arial" w:hAnsi="Arial" w:cs="Arial"/>
          <w:b/>
          <w:sz w:val="20"/>
          <w:szCs w:val="20"/>
        </w:rPr>
      </w:pPr>
    </w:p>
    <w:p w:rsidR="004506A1" w:rsidRDefault="004506A1" w:rsidP="003A5979">
      <w:pPr>
        <w:jc w:val="both"/>
        <w:rPr>
          <w:rFonts w:ascii="Arial" w:hAnsi="Arial" w:cs="Arial"/>
          <w:b/>
          <w:sz w:val="20"/>
          <w:szCs w:val="20"/>
        </w:rPr>
      </w:pPr>
    </w:p>
    <w:p w:rsidR="003A5979" w:rsidRPr="007712A8" w:rsidRDefault="003A5979" w:rsidP="003A5979">
      <w:pPr>
        <w:jc w:val="both"/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lastRenderedPageBreak/>
        <w:t>KOMUNIKACJA</w:t>
      </w:r>
    </w:p>
    <w:p w:rsidR="003A5979" w:rsidRPr="007712A8" w:rsidRDefault="003A5979" w:rsidP="003A5979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Powiadomienia o wadzie dokonuje Zamawiający (Uprawniony z gwarancji/Użytkownik) poprzez przesłanie </w:t>
      </w:r>
      <w:r w:rsidR="00D82E5F">
        <w:rPr>
          <w:rFonts w:ascii="Arial" w:hAnsi="Arial" w:cs="Arial"/>
          <w:sz w:val="20"/>
          <w:szCs w:val="20"/>
        </w:rPr>
        <w:t xml:space="preserve">w formie pisemnej </w:t>
      </w:r>
      <w:r w:rsidRPr="007712A8">
        <w:rPr>
          <w:rFonts w:ascii="Arial" w:hAnsi="Arial" w:cs="Arial"/>
          <w:sz w:val="20"/>
          <w:szCs w:val="20"/>
        </w:rPr>
        <w:t>zgłoszenia wady Wykonawcy (Gwarantowi).</w:t>
      </w:r>
    </w:p>
    <w:p w:rsidR="003A5979" w:rsidRPr="007712A8" w:rsidRDefault="003A5979" w:rsidP="003A5979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Wszelka komunikacja pomiędzy stronami dokonywana będzie zgodnie z warunkami określonymi w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Umowie.</w:t>
      </w:r>
    </w:p>
    <w:p w:rsidR="003A5979" w:rsidRPr="00C97BBC" w:rsidRDefault="003A5979" w:rsidP="003A5979">
      <w:pPr>
        <w:jc w:val="both"/>
        <w:rPr>
          <w:rFonts w:ascii="Arial" w:hAnsi="Arial" w:cs="Arial"/>
          <w:b/>
          <w:sz w:val="2"/>
          <w:szCs w:val="20"/>
        </w:rPr>
      </w:pPr>
    </w:p>
    <w:p w:rsidR="003A5979" w:rsidRPr="007712A8" w:rsidRDefault="003A5979" w:rsidP="003A5979">
      <w:pPr>
        <w:jc w:val="both"/>
        <w:rPr>
          <w:rFonts w:ascii="Arial" w:hAnsi="Arial" w:cs="Arial"/>
          <w:b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POZOSTAŁE POSTANOWIENIA</w:t>
      </w:r>
    </w:p>
    <w:p w:rsidR="003A5979" w:rsidRPr="007712A8" w:rsidRDefault="003A5979" w:rsidP="003A5979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Wykonawca (Gwarant) niezależnie od udzielonej gwarancji jakości ponosi odpowiedzialność z</w:t>
      </w:r>
      <w:r w:rsidR="004506A1">
        <w:rPr>
          <w:rFonts w:ascii="Arial" w:hAnsi="Arial" w:cs="Arial"/>
          <w:sz w:val="20"/>
          <w:szCs w:val="20"/>
        </w:rPr>
        <w:t> </w:t>
      </w:r>
      <w:r w:rsidRPr="007712A8">
        <w:rPr>
          <w:rFonts w:ascii="Arial" w:hAnsi="Arial" w:cs="Arial"/>
          <w:sz w:val="20"/>
          <w:szCs w:val="20"/>
        </w:rPr>
        <w:t>tytułu rękojmi za wady obiektu budowlanego/robót budowlanych.</w:t>
      </w:r>
    </w:p>
    <w:p w:rsidR="003A5979" w:rsidRPr="007712A8" w:rsidRDefault="003A5979" w:rsidP="003A5979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 xml:space="preserve">Powyższe nie wyłącza innych uprawnień Zamawiającego (Uprawnionego z gwarancji/Użytkownika) wynikających z </w:t>
      </w:r>
      <w:r w:rsidR="00FE140A">
        <w:rPr>
          <w:rFonts w:ascii="Arial" w:hAnsi="Arial" w:cs="Arial"/>
          <w:sz w:val="20"/>
          <w:szCs w:val="20"/>
        </w:rPr>
        <w:t>Umowy</w:t>
      </w:r>
      <w:r w:rsidRPr="007712A8">
        <w:rPr>
          <w:rFonts w:ascii="Arial" w:hAnsi="Arial" w:cs="Arial"/>
          <w:sz w:val="20"/>
          <w:szCs w:val="20"/>
        </w:rPr>
        <w:t>.</w:t>
      </w:r>
    </w:p>
    <w:p w:rsidR="003A5979" w:rsidRDefault="003A5979" w:rsidP="003A5979">
      <w:pPr>
        <w:jc w:val="both"/>
        <w:rPr>
          <w:rFonts w:ascii="Arial" w:hAnsi="Arial" w:cs="Arial"/>
          <w:sz w:val="20"/>
          <w:szCs w:val="20"/>
        </w:rPr>
      </w:pPr>
    </w:p>
    <w:p w:rsidR="00D82E5F" w:rsidRDefault="00D82E5F" w:rsidP="003A5979">
      <w:pPr>
        <w:jc w:val="both"/>
        <w:rPr>
          <w:rFonts w:ascii="Arial" w:hAnsi="Arial" w:cs="Arial"/>
          <w:sz w:val="20"/>
          <w:szCs w:val="20"/>
        </w:rPr>
      </w:pPr>
    </w:p>
    <w:p w:rsidR="00D82E5F" w:rsidRPr="007712A8" w:rsidRDefault="00D82E5F" w:rsidP="003A5979">
      <w:pPr>
        <w:jc w:val="both"/>
        <w:rPr>
          <w:rFonts w:ascii="Arial" w:hAnsi="Arial" w:cs="Arial"/>
          <w:sz w:val="20"/>
          <w:szCs w:val="20"/>
        </w:rPr>
      </w:pPr>
    </w:p>
    <w:p w:rsidR="003A5979" w:rsidRPr="007712A8" w:rsidRDefault="003A5979" w:rsidP="003A5979">
      <w:pPr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b/>
          <w:sz w:val="20"/>
          <w:szCs w:val="20"/>
        </w:rPr>
        <w:t>WYKONAWCA</w:t>
      </w:r>
    </w:p>
    <w:p w:rsidR="003A5979" w:rsidRPr="007712A8" w:rsidRDefault="003A5979" w:rsidP="003A5979">
      <w:pPr>
        <w:jc w:val="both"/>
        <w:rPr>
          <w:rFonts w:ascii="Arial" w:hAnsi="Arial" w:cs="Arial"/>
          <w:sz w:val="20"/>
          <w:szCs w:val="20"/>
        </w:rPr>
      </w:pPr>
    </w:p>
    <w:p w:rsidR="003A5979" w:rsidRPr="007712A8" w:rsidRDefault="003A5979" w:rsidP="003A5979">
      <w:pPr>
        <w:jc w:val="both"/>
        <w:rPr>
          <w:rFonts w:ascii="Arial" w:hAnsi="Arial" w:cs="Arial"/>
          <w:sz w:val="20"/>
          <w:szCs w:val="20"/>
        </w:rPr>
      </w:pPr>
      <w:r w:rsidRPr="007712A8">
        <w:rPr>
          <w:rFonts w:ascii="Arial" w:hAnsi="Arial" w:cs="Arial"/>
          <w:sz w:val="20"/>
          <w:szCs w:val="20"/>
        </w:rPr>
        <w:t>(podpis i pieczęć)</w:t>
      </w:r>
    </w:p>
    <w:p w:rsidR="00F34F17" w:rsidRDefault="00F34F17"/>
    <w:sectPr w:rsidR="00F34F17" w:rsidSect="004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E24"/>
    <w:multiLevelType w:val="hybridMultilevel"/>
    <w:tmpl w:val="73C83574"/>
    <w:lvl w:ilvl="0" w:tplc="E12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8DA"/>
    <w:multiLevelType w:val="hybridMultilevel"/>
    <w:tmpl w:val="7658A56E"/>
    <w:lvl w:ilvl="0" w:tplc="E1203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43B0"/>
    <w:multiLevelType w:val="hybridMultilevel"/>
    <w:tmpl w:val="1FBCCCAA"/>
    <w:lvl w:ilvl="0" w:tplc="E12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C5B"/>
    <w:multiLevelType w:val="hybridMultilevel"/>
    <w:tmpl w:val="E5A221D2"/>
    <w:lvl w:ilvl="0" w:tplc="A2E2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E9B"/>
    <w:multiLevelType w:val="hybridMultilevel"/>
    <w:tmpl w:val="CDB07F38"/>
    <w:lvl w:ilvl="0" w:tplc="E12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compat/>
  <w:rsids>
    <w:rsidRoot w:val="003A5979"/>
    <w:rsid w:val="00075137"/>
    <w:rsid w:val="000C73CC"/>
    <w:rsid w:val="001A629A"/>
    <w:rsid w:val="003A5979"/>
    <w:rsid w:val="004506A1"/>
    <w:rsid w:val="004530E0"/>
    <w:rsid w:val="004D028C"/>
    <w:rsid w:val="004D7A41"/>
    <w:rsid w:val="00575215"/>
    <w:rsid w:val="007A415C"/>
    <w:rsid w:val="00B069B2"/>
    <w:rsid w:val="00C0360F"/>
    <w:rsid w:val="00C14ECE"/>
    <w:rsid w:val="00C45E08"/>
    <w:rsid w:val="00C97BBC"/>
    <w:rsid w:val="00D82E5F"/>
    <w:rsid w:val="00E827A7"/>
    <w:rsid w:val="00F34F17"/>
    <w:rsid w:val="00FE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79"/>
    <w:pPr>
      <w:ind w:left="720"/>
      <w:contextualSpacing/>
    </w:pPr>
  </w:style>
  <w:style w:type="table" w:styleId="Tabela-Siatka">
    <w:name w:val="Table Grid"/>
    <w:basedOn w:val="Standardowy"/>
    <w:uiPriority w:val="39"/>
    <w:rsid w:val="003A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3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6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79"/>
    <w:pPr>
      <w:ind w:left="720"/>
      <w:contextualSpacing/>
    </w:pPr>
  </w:style>
  <w:style w:type="table" w:styleId="Tabela-Siatka">
    <w:name w:val="Table Grid"/>
    <w:basedOn w:val="Standardowy"/>
    <w:uiPriority w:val="39"/>
    <w:rsid w:val="003A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3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Faron</dc:creator>
  <cp:lastModifiedBy>Marlena Dzik</cp:lastModifiedBy>
  <cp:revision>2</cp:revision>
  <dcterms:created xsi:type="dcterms:W3CDTF">2018-05-11T08:14:00Z</dcterms:created>
  <dcterms:modified xsi:type="dcterms:W3CDTF">2018-05-11T08:14:00Z</dcterms:modified>
</cp:coreProperties>
</file>